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w:t>
      </w:r>
      <w:r w:rsidR="006E3142" w:rsidRPr="006E3142">
        <w:rPr>
          <w:rFonts w:ascii="Arial" w:eastAsia="Times New Roman" w:hAnsi="Arial" w:cs="Arial" w:hint="eastAsia"/>
          <w:b/>
          <w:lang w:eastAsia="en-GB"/>
        </w:rPr>
        <w:t>9</w:t>
      </w:r>
      <w:r>
        <w:rPr>
          <w:rFonts w:ascii="Arial" w:eastAsia="Times New Roman" w:hAnsi="Arial" w:cs="Arial"/>
          <w:b/>
          <w:lang w:eastAsia="en-GB"/>
        </w:rPr>
        <w:tab/>
      </w:r>
      <w:r w:rsidR="007F0A93" w:rsidRPr="007F0A93">
        <w:rPr>
          <w:rFonts w:ascii="Arial" w:eastAsia="Times New Roman" w:hAnsi="Arial" w:cs="Arial"/>
          <w:b/>
          <w:lang w:eastAsia="en-GB"/>
        </w:rPr>
        <w:t>R2-</w:t>
      </w:r>
      <w:r w:rsidR="00E36554" w:rsidRPr="00E36554">
        <w:rPr>
          <w:rFonts w:ascii="Arial" w:eastAsia="Times New Roman" w:hAnsi="Arial" w:cs="Arial" w:hint="eastAsia"/>
          <w:b/>
          <w:lang w:eastAsia="en-GB"/>
        </w:rPr>
        <w:t>2501235</w:t>
      </w:r>
    </w:p>
    <w:p w:rsidR="001D3BA9" w:rsidRPr="002C32ED" w:rsidRDefault="00D73CC3" w:rsidP="001D3BA9">
      <w:pPr>
        <w:tabs>
          <w:tab w:val="left" w:pos="1701"/>
          <w:tab w:val="right" w:pos="9923"/>
        </w:tabs>
        <w:rPr>
          <w:rFonts w:ascii="Arial" w:eastAsia="Times New Roman" w:hAnsi="Arial" w:cs="Arial"/>
          <w:b/>
          <w:lang w:eastAsia="en-GB"/>
        </w:rPr>
      </w:pPr>
      <w:r>
        <w:rPr>
          <w:rFonts w:ascii="Arial" w:eastAsia="Times New Roman" w:hAnsi="Arial" w:cs="Arial"/>
          <w:b/>
          <w:lang w:eastAsia="en-GB"/>
        </w:rPr>
        <w:t>A</w:t>
      </w:r>
      <w:r w:rsidR="00685D0E">
        <w:rPr>
          <w:rFonts w:ascii="Arial" w:eastAsia="Times New Roman" w:hAnsi="Arial" w:cs="Arial"/>
          <w:b/>
          <w:lang w:eastAsia="en-GB"/>
        </w:rPr>
        <w:t>thens</w:t>
      </w:r>
      <w:r w:rsidR="00CF411C">
        <w:rPr>
          <w:rFonts w:ascii="Arial" w:eastAsia="Times New Roman" w:hAnsi="Arial" w:cs="Arial"/>
          <w:b/>
          <w:lang w:eastAsia="en-GB"/>
        </w:rPr>
        <w:t xml:space="preserve">, </w:t>
      </w:r>
      <w:r w:rsidR="00685D0E">
        <w:rPr>
          <w:rFonts w:ascii="Arial" w:eastAsia="Times New Roman" w:hAnsi="Arial" w:cs="Arial"/>
          <w:b/>
          <w:lang w:eastAsia="en-GB"/>
        </w:rPr>
        <w:t>GR</w:t>
      </w:r>
      <w:r w:rsidR="001D3BA9" w:rsidRPr="002C32ED">
        <w:rPr>
          <w:rFonts w:ascii="Arial" w:eastAsia="Times New Roman" w:hAnsi="Arial" w:cs="Arial"/>
          <w:b/>
          <w:lang w:eastAsia="en-GB"/>
        </w:rPr>
        <w:t xml:space="preserve">, </w:t>
      </w:r>
      <w:r w:rsidR="00685D0E">
        <w:rPr>
          <w:rFonts w:ascii="Arial" w:eastAsia="Times New Roman" w:hAnsi="Arial" w:cs="Arial"/>
          <w:b/>
          <w:lang w:eastAsia="en-GB"/>
        </w:rPr>
        <w:t>Feb</w:t>
      </w:r>
      <w:r w:rsidR="001D3BA9" w:rsidRPr="002C32ED">
        <w:rPr>
          <w:rFonts w:ascii="Arial" w:eastAsia="Times New Roman" w:hAnsi="Arial" w:cs="Arial"/>
          <w:b/>
          <w:lang w:eastAsia="en-GB"/>
        </w:rPr>
        <w:t xml:space="preserve"> </w:t>
      </w:r>
      <w:r w:rsidR="00685D0E">
        <w:rPr>
          <w:rFonts w:ascii="Arial" w:eastAsia="Times New Roman" w:hAnsi="Arial" w:cs="Arial"/>
          <w:b/>
          <w:lang w:eastAsia="en-GB"/>
        </w:rPr>
        <w:t>17</w:t>
      </w:r>
      <w:r w:rsidR="001D3BA9" w:rsidRPr="002C32ED">
        <w:rPr>
          <w:rFonts w:ascii="Arial" w:eastAsia="Times New Roman" w:hAnsi="Arial" w:cs="Arial"/>
          <w:b/>
          <w:lang w:eastAsia="en-GB"/>
        </w:rPr>
        <w:t>-</w:t>
      </w:r>
      <w:r w:rsidR="00685D0E">
        <w:rPr>
          <w:rFonts w:ascii="Arial" w:eastAsia="Times New Roman" w:hAnsi="Arial" w:cs="Arial"/>
          <w:b/>
          <w:lang w:eastAsia="en-GB"/>
        </w:rPr>
        <w:t>21, 2025</w:t>
      </w:r>
      <w:bookmarkStart w:id="0" w:name="_GoBack"/>
      <w:bookmarkEnd w:id="0"/>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9126CE" w:rsidRPr="009126CE">
        <w:rPr>
          <w:rFonts w:ascii="Arial" w:hAnsi="Arial" w:cs="Arial"/>
          <w:b/>
          <w:bCs/>
        </w:rPr>
        <w:t>DSR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r w:rsidR="00501005">
        <w:rPr>
          <w:rFonts w:asciiTheme="minorEastAsia" w:eastAsiaTheme="minorEastAsia" w:hAnsiTheme="minorEastAsia" w:cs="Arial" w:hint="eastAsia"/>
          <w:b/>
          <w:kern w:val="2"/>
          <w:sz w:val="24"/>
          <w:szCs w:val="22"/>
          <w:lang w:val="en-US" w:eastAsia="zh-TW"/>
        </w:rPr>
        <w:t>.</w:t>
      </w:r>
      <w:r w:rsidR="00501005" w:rsidRPr="00501005">
        <w:rPr>
          <w:rFonts w:eastAsia="Times New Roman" w:cs="Arial" w:hint="eastAsia"/>
          <w:b/>
          <w:kern w:val="2"/>
          <w:sz w:val="24"/>
          <w:szCs w:val="22"/>
          <w:lang w:val="en-US" w:eastAsia="en-GB"/>
        </w:rPr>
        <w:t>2</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637F4F">
        <w:rPr>
          <w:rFonts w:ascii="Times New Roman" w:hAnsi="Times New Roman" w:cs="Times New Roman" w:hint="eastAsia"/>
          <w:sz w:val="20"/>
        </w:rPr>
        <w:t>2</w:t>
      </w:r>
      <w:r w:rsidR="002C7C7F">
        <w:rPr>
          <w:rFonts w:ascii="Times New Roman" w:hAnsi="Times New Roman" w:cs="Times New Roman" w:hint="eastAsia"/>
          <w:sz w:val="20"/>
        </w:rPr>
        <w:t>8</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w:t>
      </w:r>
      <w:r w:rsidR="007017FF">
        <w:rPr>
          <w:rFonts w:ascii="Times New Roman" w:hAnsi="Times New Roman" w:cs="Times New Roman"/>
          <w:sz w:val="20"/>
        </w:rPr>
        <w:t>agreements</w:t>
      </w:r>
      <w:r w:rsidRPr="00DC74DD">
        <w:rPr>
          <w:rFonts w:ascii="Times New Roman" w:hAnsi="Times New Roman" w:cs="Times New Roman"/>
          <w:sz w:val="20"/>
        </w:rPr>
        <w:t xml:space="preserve"> were noted:</w:t>
      </w:r>
    </w:p>
    <w:tbl>
      <w:tblPr>
        <w:tblStyle w:val="aa"/>
        <w:tblW w:w="0" w:type="auto"/>
        <w:tblLook w:val="04A0" w:firstRow="1" w:lastRow="0" w:firstColumn="1" w:lastColumn="0" w:noHBand="0" w:noVBand="1"/>
      </w:tblPr>
      <w:tblGrid>
        <w:gridCol w:w="9628"/>
      </w:tblGrid>
      <w:tr w:rsidR="00AB22DD" w:rsidRPr="00EB51AF" w:rsidTr="00AB22DD">
        <w:tc>
          <w:tcPr>
            <w:tcW w:w="9628" w:type="dxa"/>
          </w:tcPr>
          <w:p w:rsidR="00EB51AF" w:rsidRPr="00EB51AF" w:rsidRDefault="00EB51AF" w:rsidP="00EB51AF">
            <w:pPr>
              <w:pStyle w:val="Comments"/>
              <w:rPr>
                <w:b/>
                <w:i w:val="0"/>
                <w:lang w:val="en-US"/>
              </w:rPr>
            </w:pPr>
            <w:r w:rsidRPr="00EB51AF">
              <w:rPr>
                <w:b/>
                <w:i w:val="0"/>
                <w:lang w:val="en-US"/>
              </w:rPr>
              <w:t>Agreements on DSR enhancements</w:t>
            </w:r>
          </w:p>
          <w:p w:rsidR="002C7C7F" w:rsidRDefault="002C7C7F" w:rsidP="002C7C7F">
            <w:pPr>
              <w:pStyle w:val="Agreement"/>
              <w:numPr>
                <w:ilvl w:val="0"/>
                <w:numId w:val="7"/>
              </w:numPr>
            </w:pPr>
            <w:r w:rsidRPr="0081545D">
              <w:t>Let the network configure the triggering and reporting thresholds without constraints.</w:t>
            </w:r>
          </w:p>
          <w:p w:rsidR="002C7C7F" w:rsidRDefault="002C7C7F" w:rsidP="002C7C7F">
            <w:pPr>
              <w:pStyle w:val="Agreement"/>
              <w:numPr>
                <w:ilvl w:val="0"/>
                <w:numId w:val="7"/>
              </w:numPr>
              <w:jc w:val="both"/>
            </w:pPr>
            <w:r>
              <w:t>RAN2 understanding is that the data that has been already reported in the DSR should not trigger another DSR</w:t>
            </w:r>
          </w:p>
          <w:p w:rsidR="002C7C7F" w:rsidRPr="002C7C7F" w:rsidRDefault="002C7C7F" w:rsidP="002C7C7F">
            <w:pPr>
              <w:pStyle w:val="Doc-text2"/>
              <w:numPr>
                <w:ilvl w:val="0"/>
                <w:numId w:val="7"/>
              </w:numPr>
              <w:rPr>
                <w:b/>
              </w:rPr>
            </w:pPr>
            <w:r w:rsidRPr="002C7C7F">
              <w:rPr>
                <w:b/>
              </w:rPr>
              <w:t>The existing cancelling and triggering of Rel-18 DSR is reused for the enhanced DSR.</w:t>
            </w:r>
          </w:p>
          <w:p w:rsidR="00AB22DD" w:rsidRPr="002C7C7F" w:rsidRDefault="002C7C7F" w:rsidP="002C7C7F">
            <w:pPr>
              <w:pStyle w:val="Doc-text2"/>
              <w:numPr>
                <w:ilvl w:val="0"/>
                <w:numId w:val="7"/>
              </w:numPr>
              <w:rPr>
                <w:b/>
              </w:rPr>
            </w:pPr>
            <w:r w:rsidRPr="002C7C7F">
              <w:rPr>
                <w:b/>
              </w:rPr>
              <w:t>The UE may also support including non-delay critical data ahead of delay critical data in the buffer size calculation for DSR, which is a capability indicated to the NW.</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917009">
        <w:rPr>
          <w:rFonts w:ascii="Times New Roman" w:hAnsi="Times New Roman" w:cs="Times New Roman"/>
          <w:b/>
          <w:sz w:val="20"/>
        </w:rPr>
        <w:t xml:space="preserve"> “</w:t>
      </w:r>
      <w:r w:rsidR="00917009" w:rsidRPr="00917009">
        <w:rPr>
          <w:rFonts w:ascii="Times New Roman" w:eastAsia="新細明體" w:hAnsi="Times New Roman" w:cs="Times New Roman"/>
          <w:b/>
          <w:bCs/>
          <w:kern w:val="0"/>
          <w:sz w:val="20"/>
          <w:szCs w:val="20"/>
        </w:rPr>
        <w:t>The issues of non-delay critical data in the DSR</w:t>
      </w:r>
      <w:r w:rsidR="00917009">
        <w:rPr>
          <w:rFonts w:ascii="Times New Roman" w:hAnsi="Times New Roman" w:cs="Times New Roman"/>
          <w:b/>
          <w:sz w:val="20"/>
        </w:rPr>
        <w:t>”</w:t>
      </w:r>
      <w:r w:rsidR="00AF25F5">
        <w:rPr>
          <w:rFonts w:ascii="Times New Roman" w:hAnsi="Times New Roman" w:cs="Times New Roman" w:hint="eastAsia"/>
          <w:sz w:val="20"/>
        </w:rPr>
        <w:t xml:space="preserve"> </w:t>
      </w:r>
      <w:r w:rsidR="006604C9">
        <w:rPr>
          <w:rFonts w:ascii="Times New Roman" w:hAnsi="Times New Roman" w:cs="Times New Roman"/>
          <w:sz w:val="20"/>
        </w:rPr>
        <w:t>are</w:t>
      </w:r>
      <w:r w:rsidR="00AF25F5">
        <w:rPr>
          <w:rFonts w:ascii="Times New Roman" w:hAnsi="Times New Roman" w:cs="Times New Roman"/>
          <w:sz w:val="20"/>
        </w:rPr>
        <w:t xml:space="preserve">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w:t>
      </w:r>
      <w:r w:rsidR="00D70F3E">
        <w:rPr>
          <w:rFonts w:ascii="Times New Roman" w:hAnsi="Times New Roman" w:cs="Times New Roman"/>
          <w:sz w:val="20"/>
        </w:rPr>
        <w:t>8</w:t>
      </w:r>
      <w:r w:rsidR="00CF7CD4" w:rsidRPr="006604C9">
        <w:rPr>
          <w:rFonts w:ascii="Times New Roman" w:hAnsi="Times New Roman" w:cs="Times New Roman"/>
          <w:sz w:val="20"/>
        </w:rPr>
        <w:t xml:space="preserve"> meeting [1], the following </w:t>
      </w:r>
      <w:r w:rsidR="007017FF">
        <w:rPr>
          <w:rFonts w:ascii="Times New Roman" w:hAnsi="Times New Roman" w:cs="Times New Roman"/>
          <w:sz w:val="20"/>
        </w:rPr>
        <w:t>agreements</w:t>
      </w:r>
      <w:r w:rsidR="00CF7CD4" w:rsidRPr="006604C9">
        <w:rPr>
          <w:rFonts w:ascii="Times New Roman" w:hAnsi="Times New Roman" w:cs="Times New Roman"/>
          <w:sz w:val="20"/>
        </w:rPr>
        <w:t xml:space="preserve"> were noted:</w:t>
      </w:r>
    </w:p>
    <w:p w:rsidR="0031497C" w:rsidRPr="00EB51AF" w:rsidRDefault="0031497C" w:rsidP="0031497C">
      <w:pPr>
        <w:pStyle w:val="Comments"/>
        <w:jc w:val="both"/>
        <w:rPr>
          <w:b/>
          <w:i w:val="0"/>
          <w:lang w:val="en-US"/>
        </w:rPr>
      </w:pPr>
      <w:r w:rsidRPr="00EB51AF">
        <w:rPr>
          <w:b/>
          <w:i w:val="0"/>
          <w:lang w:val="en-US"/>
        </w:rPr>
        <w:t>Agreements on DSR enhancements</w:t>
      </w:r>
    </w:p>
    <w:p w:rsidR="002C7C7F" w:rsidRDefault="002C7C7F" w:rsidP="002C7C7F">
      <w:pPr>
        <w:pStyle w:val="Agreement"/>
        <w:numPr>
          <w:ilvl w:val="0"/>
          <w:numId w:val="7"/>
        </w:numPr>
      </w:pPr>
      <w:r w:rsidRPr="0081545D">
        <w:t>Let the network configure the triggering and reporting thresholds without constraints.</w:t>
      </w:r>
    </w:p>
    <w:p w:rsidR="0031497C" w:rsidRDefault="002C7C7F" w:rsidP="002C7C7F">
      <w:pPr>
        <w:pStyle w:val="Agreement"/>
        <w:numPr>
          <w:ilvl w:val="0"/>
          <w:numId w:val="7"/>
        </w:numPr>
        <w:jc w:val="both"/>
      </w:pPr>
      <w:r>
        <w:t>RAN2 understanding is that the data that has been already reported in the DSR should not trigger another DSR</w:t>
      </w:r>
    </w:p>
    <w:p w:rsidR="002C7C7F" w:rsidRPr="002C7C7F" w:rsidRDefault="002C7C7F" w:rsidP="002C7C7F">
      <w:pPr>
        <w:pStyle w:val="Doc-text2"/>
        <w:numPr>
          <w:ilvl w:val="0"/>
          <w:numId w:val="7"/>
        </w:numPr>
        <w:rPr>
          <w:b/>
        </w:rPr>
      </w:pPr>
      <w:r w:rsidRPr="002C7C7F">
        <w:rPr>
          <w:b/>
        </w:rPr>
        <w:t>The existing cancelling and triggering of Rel-18 DSR is reused for the enhanced DSR.</w:t>
      </w:r>
    </w:p>
    <w:p w:rsidR="002C7C7F" w:rsidRPr="002C7C7F" w:rsidRDefault="002C7C7F" w:rsidP="002C7C7F">
      <w:pPr>
        <w:pStyle w:val="Doc-text2"/>
        <w:numPr>
          <w:ilvl w:val="0"/>
          <w:numId w:val="7"/>
        </w:numPr>
        <w:rPr>
          <w:b/>
        </w:rPr>
      </w:pPr>
      <w:r w:rsidRPr="002C7C7F">
        <w:rPr>
          <w:b/>
        </w:rPr>
        <w:t>The UE may also support including non-delay critical data ahead of delay critical data in the buffer size calculation for DSR, which is a capability indicated to the NW.</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E5088D" w:rsidRPr="00F6131C" w:rsidRDefault="00602F73" w:rsidP="003E2513">
      <w:pPr>
        <w:pStyle w:val="a7"/>
        <w:numPr>
          <w:ilvl w:val="0"/>
          <w:numId w:val="3"/>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t xml:space="preserve">The issues of </w:t>
      </w:r>
      <w:r w:rsidR="00E5088D" w:rsidRPr="00E5088D">
        <w:rPr>
          <w:rFonts w:ascii="Times New Roman" w:eastAsia="新細明體" w:hAnsi="Times New Roman" w:cs="Times New Roman"/>
          <w:bCs/>
          <w:kern w:val="0"/>
          <w:sz w:val="20"/>
          <w:szCs w:val="20"/>
        </w:rPr>
        <w:t>non-delay critical data in the DSR</w:t>
      </w:r>
      <w:r w:rsidR="00E5088D">
        <w:rPr>
          <w:rFonts w:ascii="Times New Roman" w:eastAsia="新細明體" w:hAnsi="Times New Roman" w:cs="Times New Roman"/>
          <w:bCs/>
          <w:kern w:val="0"/>
          <w:sz w:val="20"/>
          <w:szCs w:val="20"/>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3A103C" w:rsidRPr="003A103C" w:rsidRDefault="00602F73"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Pr>
          <w:rFonts w:ascii="Times New Roman" w:hAnsi="Times New Roman" w:cs="Times New Roman"/>
          <w:b/>
        </w:rPr>
        <w:t xml:space="preserve">The issues of </w:t>
      </w:r>
      <w:r w:rsidR="00A448BD" w:rsidRPr="00A448BD">
        <w:rPr>
          <w:rFonts w:ascii="Times New Roman" w:hAnsi="Times New Roman" w:cs="Times New Roman"/>
          <w:b/>
        </w:rPr>
        <w:t xml:space="preserve">non-delay critical data </w:t>
      </w:r>
      <w:r w:rsidR="00A448BD" w:rsidRPr="003A103C">
        <w:rPr>
          <w:rFonts w:ascii="Times New Roman" w:hAnsi="Times New Roman" w:cs="Times New Roman"/>
          <w:b/>
        </w:rPr>
        <w:t>in the DSR</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 xml:space="preserve">In the realm of 5G Extended Reality (XR) applications, such as augmented reality (AR) and virtual reality (VR), ensuring optimal performance is critical. This involves managing network delays meticulously to maintain a seamless </w:t>
      </w:r>
      <w:r w:rsidRPr="007F0C01">
        <w:rPr>
          <w:rFonts w:ascii="Times New Roman" w:hAnsi="Times New Roman" w:cs="Times New Roman"/>
          <w:sz w:val="20"/>
        </w:rPr>
        <w:lastRenderedPageBreak/>
        <w:t xml:space="preserve">user experience. One of the tools used to achieve this is the Delay Status Report (DSR). This mechanism allows the </w:t>
      </w:r>
      <w:r>
        <w:rPr>
          <w:rFonts w:ascii="Times New Roman" w:hAnsi="Times New Roman" w:cs="Times New Roman"/>
          <w:sz w:val="20"/>
        </w:rPr>
        <w:t>UE</w:t>
      </w:r>
      <w:r w:rsidRPr="007F0C01">
        <w:rPr>
          <w:rFonts w:ascii="Times New Roman" w:hAnsi="Times New Roman" w:cs="Times New Roman"/>
          <w:sz w:val="20"/>
        </w:rPr>
        <w:t xml:space="preserve"> to report network delay conditions to the network, enabling adaptive adjustments to meet the stringent requirements of XR applications. DSR is crucial for monitoring real-time performance metrics, particularly latency, which can significantly impact the quality of XR experiences. By providing timely and accurate delay information, DSR helps dynamically adjust network parameters to address latency issues and improve overall service quality.</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To manage network delays effectively, DSR can be configured with multiple thresholds. Each threshold corresponds to a specific delay level and triggers different network responses based on the severity of the delay. Non-delay critical data may also be included in the delay severity classification.</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In XR applications, managing DSR effectively is essential for optimal performance. When the gNB receives a report of non-delay critical data in a DSR, it relies on the remaining time to determine when this data may transition to delay-critical status, without prioritizing immediate resource allocation for that data. When the gNB identifies non-delay critical data, it does not allocate resources to the UE right away. Instead, it monitors the remaining time to assess if and when the data will change status. Only when the gNB determines that the data has become delay-critical does it begin to consider resource allocation for that UE. The key issues related to DSR containing non-delay critical data include: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Delay in Resource Allocation:</w:t>
      </w:r>
      <w:r w:rsidRPr="007F0C01">
        <w:rPr>
          <w:rFonts w:ascii="Times New Roman" w:hAnsi="Times New Roman" w:cs="Times New Roman"/>
          <w:sz w:val="20"/>
        </w:rPr>
        <w:t xml:space="preserve"> The time taken for the gNB to recognize the transition from non-delay critical to delay-critical can lead to significant delays in resource allocation, potentially impacting performance.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Lack of Feedback on Data Transmission:</w:t>
      </w:r>
      <w:r w:rsidRPr="007F0C01">
        <w:rPr>
          <w:rFonts w:ascii="Times New Roman" w:hAnsi="Times New Roman" w:cs="Times New Roman"/>
          <w:sz w:val="20"/>
        </w:rPr>
        <w:t xml:space="preserve"> Since the UE does not inform the gNB about which specific data has been transmitted, the gNB cannot verify whether the data in the DSR has been sent. This lack of feedback creates ambiguity in the system.</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Inconsistent Data Requirements:</w:t>
      </w:r>
      <w:r w:rsidRPr="007F0C01">
        <w:rPr>
          <w:rFonts w:ascii="Times New Roman" w:hAnsi="Times New Roman" w:cs="Times New Roman"/>
          <w:sz w:val="20"/>
        </w:rPr>
        <w:t xml:space="preserve"> The delay in resource allocation and the absence of feedback can result in a misalignment between the resource allocation of the gNB and the actual data transmission status from the UE. This inconsistency can lead to incorrect resource configurations, ultimately degrading service quality.</w:t>
      </w:r>
    </w:p>
    <w:p w:rsidR="00DF2748" w:rsidRPr="001645ED" w:rsidRDefault="007F0C01" w:rsidP="001645ED">
      <w:pPr>
        <w:widowControl/>
        <w:spacing w:before="100" w:beforeAutospacing="1" w:after="100" w:afterAutospacing="1"/>
        <w:rPr>
          <w:rFonts w:ascii="新細明體" w:eastAsia="新細明體" w:hAnsi="新細明體" w:cs="新細明體"/>
          <w:kern w:val="0"/>
          <w:szCs w:val="24"/>
        </w:rPr>
      </w:pPr>
      <w:r w:rsidRPr="007F0C01">
        <w:rPr>
          <w:rFonts w:ascii="Times New Roman" w:hAnsi="Times New Roman" w:cs="Times New Roman"/>
          <w:sz w:val="20"/>
        </w:rPr>
        <w:t>The process of managing non-delay critical data in DSR highlights significant synchronization challenges between the UE and gNB in XR. The inability of the gNB to ascertain the transmission status of data can lead to resource misallocation and performance degradation. Addressing these synchronization issues is critical for optimizing DSR functionality and improving overall network efficiency.</w:t>
      </w:r>
    </w:p>
    <w:p w:rsidR="00D87498" w:rsidRPr="00531909" w:rsidRDefault="00531909" w:rsidP="00C8429F">
      <w:pPr>
        <w:pStyle w:val="a7"/>
        <w:spacing w:afterLines="50" w:after="180"/>
        <w:ind w:leftChars="0" w:left="0"/>
        <w:jc w:val="both"/>
        <w:rPr>
          <w:rFonts w:ascii="Times New Roman" w:hAnsi="Times New Roman" w:cs="Times New Roman"/>
          <w:b/>
          <w:sz w:val="20"/>
        </w:rPr>
      </w:pPr>
      <w:r w:rsidRPr="00531909">
        <w:rPr>
          <w:rFonts w:ascii="Times New Roman" w:hAnsi="Times New Roman" w:cs="Times New Roman"/>
          <w:b/>
          <w:bCs/>
          <w:sz w:val="20"/>
        </w:rPr>
        <w:t>Observation 1</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sidRPr="00531909">
        <w:rPr>
          <w:rFonts w:ascii="Times New Roman" w:hAnsi="Times New Roman" w:cs="Times New Roman"/>
          <w:b/>
          <w:bCs/>
          <w:sz w:val="20"/>
        </w:rPr>
        <w:t>Observation 2</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sidRPr="00531909">
        <w:rPr>
          <w:rFonts w:ascii="Times New Roman" w:hAnsi="Times New Roman" w:cs="Times New Roman"/>
          <w:b/>
          <w:bCs/>
          <w:sz w:val="20"/>
        </w:rPr>
        <w:t>Proposal 1</w:t>
      </w:r>
      <w:r w:rsidRPr="00531909">
        <w:rPr>
          <w:rFonts w:ascii="Times New Roman" w:hAnsi="Times New Roman" w:cs="Times New Roman"/>
          <w:b/>
          <w:sz w:val="20"/>
        </w:rPr>
        <w:t>: When the DSR includes non-delay critical data, the real-time feedback mechanism should be discussed.</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531909" w:rsidRPr="00531909" w:rsidRDefault="00531909" w:rsidP="00531909">
      <w:pPr>
        <w:pStyle w:val="a7"/>
        <w:spacing w:afterLines="50" w:after="180"/>
        <w:ind w:leftChars="0" w:left="0"/>
        <w:jc w:val="both"/>
        <w:rPr>
          <w:rFonts w:ascii="Times New Roman" w:hAnsi="Times New Roman" w:cs="Times New Roman"/>
          <w:b/>
          <w:sz w:val="20"/>
        </w:rPr>
      </w:pPr>
      <w:r w:rsidRPr="00531909">
        <w:rPr>
          <w:rFonts w:ascii="Times New Roman" w:hAnsi="Times New Roman" w:cs="Times New Roman"/>
          <w:b/>
          <w:bCs/>
          <w:sz w:val="20"/>
        </w:rPr>
        <w:lastRenderedPageBreak/>
        <w:t>Observation 1</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sidRPr="00531909">
        <w:rPr>
          <w:rFonts w:ascii="Times New Roman" w:hAnsi="Times New Roman" w:cs="Times New Roman"/>
          <w:b/>
          <w:bCs/>
          <w:sz w:val="20"/>
        </w:rPr>
        <w:t>Observation 2</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sidRPr="00531909">
        <w:rPr>
          <w:rFonts w:ascii="Times New Roman" w:hAnsi="Times New Roman" w:cs="Times New Roman"/>
          <w:b/>
          <w:bCs/>
          <w:sz w:val="20"/>
        </w:rPr>
        <w:t>Proposal 1</w:t>
      </w:r>
      <w:r w:rsidRPr="00531909">
        <w:rPr>
          <w:rFonts w:ascii="Times New Roman" w:hAnsi="Times New Roman" w:cs="Times New Roman"/>
          <w:b/>
          <w:sz w:val="20"/>
        </w:rPr>
        <w:t>: When the DSR includes non-delay critical data, the real-time feedback mechanism should be discussed.</w:t>
      </w:r>
    </w:p>
    <w:p w:rsidR="00F320FC" w:rsidRPr="001D2906" w:rsidRDefault="00F320FC" w:rsidP="00683371">
      <w:pPr>
        <w:pStyle w:val="1"/>
        <w:ind w:left="0" w:firstLine="0"/>
        <w:jc w:val="both"/>
      </w:pPr>
      <w:r w:rsidRPr="001D2906">
        <w:t>References</w:t>
      </w:r>
    </w:p>
    <w:p w:rsidR="003A103C" w:rsidRPr="00922FD1" w:rsidRDefault="00755767" w:rsidP="00922FD1">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w:t>
      </w:r>
      <w:r w:rsidR="0097193E">
        <w:rPr>
          <w:rFonts w:ascii="Times New Roman" w:hAnsi="Times New Roman"/>
          <w:sz w:val="20"/>
        </w:rPr>
        <w:t>8</w:t>
      </w:r>
    </w:p>
    <w:sectPr w:rsidR="003A103C" w:rsidRPr="00922FD1"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031" w:rsidRDefault="004C6031" w:rsidP="0093685F">
      <w:r>
        <w:separator/>
      </w:r>
    </w:p>
  </w:endnote>
  <w:endnote w:type="continuationSeparator" w:id="0">
    <w:p w:rsidR="004C6031" w:rsidRDefault="004C6031"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031" w:rsidRDefault="004C6031" w:rsidP="0093685F">
      <w:r>
        <w:separator/>
      </w:r>
    </w:p>
  </w:footnote>
  <w:footnote w:type="continuationSeparator" w:id="0">
    <w:p w:rsidR="004C6031" w:rsidRDefault="004C6031"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678CC28C"/>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FD5072EC">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924A8"/>
    <w:multiLevelType w:val="hybridMultilevel"/>
    <w:tmpl w:val="177AF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602C52"/>
    <w:multiLevelType w:val="hybridMultilevel"/>
    <w:tmpl w:val="FB4E7D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23187"/>
    <w:multiLevelType w:val="hybridMultilevel"/>
    <w:tmpl w:val="E384E5FE"/>
    <w:lvl w:ilvl="0" w:tplc="420AE154">
      <w:numFmt w:val="bullet"/>
      <w:lvlText w:val=""/>
      <w:lvlJc w:val="left"/>
      <w:pPr>
        <w:ind w:left="360" w:hanging="360"/>
      </w:pPr>
      <w:rPr>
        <w:rFonts w:ascii="Symbol" w:eastAsia="新細明體" w:hAnsi="Symbol" w:cs="新細明體" w:hint="default"/>
        <w:color w:val="auto"/>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C1FD5"/>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946CDC"/>
    <w:multiLevelType w:val="multilevel"/>
    <w:tmpl w:val="2A8A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13CB5"/>
    <w:multiLevelType w:val="hybridMultilevel"/>
    <w:tmpl w:val="3766CD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7" w15:restartNumberingAfterBreak="0">
    <w:nsid w:val="4D27135E"/>
    <w:multiLevelType w:val="hybridMultilevel"/>
    <w:tmpl w:val="3F145A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13128B"/>
    <w:multiLevelType w:val="multilevel"/>
    <w:tmpl w:val="212E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7C3372"/>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B24C1B"/>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D7D0C"/>
    <w:multiLevelType w:val="multilevel"/>
    <w:tmpl w:val="488487A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C471BE8"/>
    <w:multiLevelType w:val="hybridMultilevel"/>
    <w:tmpl w:val="8692FC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54"/>
        </w:tabs>
        <w:ind w:left="-954" w:hanging="360"/>
      </w:pPr>
      <w:rPr>
        <w:rFonts w:ascii="Symbol" w:hAnsi="Symbol" w:hint="default"/>
        <w:b/>
        <w:i w:val="0"/>
        <w:color w:val="auto"/>
        <w:sz w:val="22"/>
      </w:rPr>
    </w:lvl>
    <w:lvl w:ilvl="1" w:tplc="04090003">
      <w:start w:val="1"/>
      <w:numFmt w:val="bullet"/>
      <w:lvlText w:val="o"/>
      <w:lvlJc w:val="left"/>
      <w:pPr>
        <w:tabs>
          <w:tab w:val="num" w:pos="-1133"/>
        </w:tabs>
        <w:ind w:left="-1133" w:hanging="360"/>
      </w:pPr>
      <w:rPr>
        <w:rFonts w:ascii="Courier New" w:hAnsi="Courier New" w:cs="Courier New" w:hint="default"/>
      </w:rPr>
    </w:lvl>
    <w:lvl w:ilvl="2" w:tplc="04090005">
      <w:start w:val="1"/>
      <w:numFmt w:val="bullet"/>
      <w:lvlText w:val=""/>
      <w:lvlJc w:val="left"/>
      <w:pPr>
        <w:tabs>
          <w:tab w:val="num" w:pos="-413"/>
        </w:tabs>
        <w:ind w:left="-413" w:hanging="360"/>
      </w:pPr>
      <w:rPr>
        <w:rFonts w:ascii="Wingdings" w:hAnsi="Wingdings" w:hint="default"/>
      </w:rPr>
    </w:lvl>
    <w:lvl w:ilvl="3" w:tplc="04090001" w:tentative="1">
      <w:start w:val="1"/>
      <w:numFmt w:val="bullet"/>
      <w:lvlText w:val=""/>
      <w:lvlJc w:val="left"/>
      <w:pPr>
        <w:tabs>
          <w:tab w:val="num" w:pos="307"/>
        </w:tabs>
        <w:ind w:left="307" w:hanging="360"/>
      </w:pPr>
      <w:rPr>
        <w:rFonts w:ascii="Symbol" w:hAnsi="Symbol" w:hint="default"/>
      </w:rPr>
    </w:lvl>
    <w:lvl w:ilvl="4" w:tplc="04090003" w:tentative="1">
      <w:start w:val="1"/>
      <w:numFmt w:val="bullet"/>
      <w:lvlText w:val="o"/>
      <w:lvlJc w:val="left"/>
      <w:pPr>
        <w:tabs>
          <w:tab w:val="num" w:pos="1027"/>
        </w:tabs>
        <w:ind w:left="1027" w:hanging="360"/>
      </w:pPr>
      <w:rPr>
        <w:rFonts w:ascii="Courier New" w:hAnsi="Courier New" w:cs="Courier New" w:hint="default"/>
      </w:rPr>
    </w:lvl>
    <w:lvl w:ilvl="5" w:tplc="04090005" w:tentative="1">
      <w:start w:val="1"/>
      <w:numFmt w:val="bullet"/>
      <w:lvlText w:val=""/>
      <w:lvlJc w:val="left"/>
      <w:pPr>
        <w:tabs>
          <w:tab w:val="num" w:pos="1747"/>
        </w:tabs>
        <w:ind w:left="1747" w:hanging="360"/>
      </w:pPr>
      <w:rPr>
        <w:rFonts w:ascii="Wingdings" w:hAnsi="Wingdings" w:hint="default"/>
      </w:rPr>
    </w:lvl>
    <w:lvl w:ilvl="6" w:tplc="04090001" w:tentative="1">
      <w:start w:val="1"/>
      <w:numFmt w:val="bullet"/>
      <w:lvlText w:val=""/>
      <w:lvlJc w:val="left"/>
      <w:pPr>
        <w:tabs>
          <w:tab w:val="num" w:pos="2467"/>
        </w:tabs>
        <w:ind w:left="2467" w:hanging="360"/>
      </w:pPr>
      <w:rPr>
        <w:rFonts w:ascii="Symbol" w:hAnsi="Symbol" w:hint="default"/>
      </w:rPr>
    </w:lvl>
    <w:lvl w:ilvl="7" w:tplc="04090003" w:tentative="1">
      <w:start w:val="1"/>
      <w:numFmt w:val="bullet"/>
      <w:lvlText w:val="o"/>
      <w:lvlJc w:val="left"/>
      <w:pPr>
        <w:tabs>
          <w:tab w:val="num" w:pos="3187"/>
        </w:tabs>
        <w:ind w:left="3187" w:hanging="360"/>
      </w:pPr>
      <w:rPr>
        <w:rFonts w:ascii="Courier New" w:hAnsi="Courier New" w:cs="Courier New" w:hint="default"/>
      </w:rPr>
    </w:lvl>
    <w:lvl w:ilvl="8" w:tplc="04090005" w:tentative="1">
      <w:start w:val="1"/>
      <w:numFmt w:val="bullet"/>
      <w:lvlText w:val=""/>
      <w:lvlJc w:val="left"/>
      <w:pPr>
        <w:tabs>
          <w:tab w:val="num" w:pos="3907"/>
        </w:tabs>
        <w:ind w:left="3907" w:hanging="360"/>
      </w:pPr>
      <w:rPr>
        <w:rFonts w:ascii="Wingdings" w:hAnsi="Wingdings" w:hint="default"/>
      </w:rPr>
    </w:lvl>
  </w:abstractNum>
  <w:abstractNum w:abstractNumId="24" w15:restartNumberingAfterBreak="0">
    <w:nsid w:val="77A36BFE"/>
    <w:multiLevelType w:val="hybridMultilevel"/>
    <w:tmpl w:val="7792B5F6"/>
    <w:lvl w:ilvl="0" w:tplc="ABC64BD4">
      <w:numFmt w:val="bullet"/>
      <w:lvlText w:val=""/>
      <w:lvlJc w:val="left"/>
      <w:pPr>
        <w:ind w:left="405" w:hanging="405"/>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9C2473D"/>
    <w:multiLevelType w:val="multilevel"/>
    <w:tmpl w:val="80F00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0"/>
  </w:num>
  <w:num w:numId="3">
    <w:abstractNumId w:val="7"/>
  </w:num>
  <w:num w:numId="4">
    <w:abstractNumId w:val="13"/>
  </w:num>
  <w:num w:numId="5">
    <w:abstractNumId w:val="16"/>
  </w:num>
  <w:num w:numId="6">
    <w:abstractNumId w:val="12"/>
  </w:num>
  <w:num w:numId="7">
    <w:abstractNumId w:val="1"/>
  </w:num>
  <w:num w:numId="8">
    <w:abstractNumId w:val="23"/>
  </w:num>
  <w:num w:numId="9">
    <w:abstractNumId w:val="23"/>
  </w:num>
  <w:num w:numId="10">
    <w:abstractNumId w:val="26"/>
  </w:num>
  <w:num w:numId="11">
    <w:abstractNumId w:val="8"/>
  </w:num>
  <w:num w:numId="12">
    <w:abstractNumId w:val="9"/>
  </w:num>
  <w:num w:numId="13">
    <w:abstractNumId w:val="25"/>
  </w:num>
  <w:num w:numId="14">
    <w:abstractNumId w:val="5"/>
  </w:num>
  <w:num w:numId="15">
    <w:abstractNumId w:val="19"/>
  </w:num>
  <w:num w:numId="16">
    <w:abstractNumId w:val="20"/>
  </w:num>
  <w:num w:numId="17">
    <w:abstractNumId w:val="21"/>
  </w:num>
  <w:num w:numId="18">
    <w:abstractNumId w:val="18"/>
  </w:num>
  <w:num w:numId="19">
    <w:abstractNumId w:val="3"/>
  </w:num>
  <w:num w:numId="20">
    <w:abstractNumId w:val="4"/>
  </w:num>
  <w:num w:numId="21">
    <w:abstractNumId w:val="17"/>
  </w:num>
  <w:num w:numId="22">
    <w:abstractNumId w:val="24"/>
  </w:num>
  <w:num w:numId="23">
    <w:abstractNumId w:val="22"/>
  </w:num>
  <w:num w:numId="24">
    <w:abstractNumId w:val="15"/>
  </w:num>
  <w:num w:numId="25">
    <w:abstractNumId w:val="2"/>
  </w:num>
  <w:num w:numId="26">
    <w:abstractNumId w:val="6"/>
  </w:num>
  <w:num w:numId="27">
    <w:abstractNumId w:val="14"/>
  </w:num>
  <w:num w:numId="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4610"/>
    <w:rsid w:val="000054C2"/>
    <w:rsid w:val="000056ED"/>
    <w:rsid w:val="00005D5B"/>
    <w:rsid w:val="00006F25"/>
    <w:rsid w:val="00010A34"/>
    <w:rsid w:val="00011196"/>
    <w:rsid w:val="00011281"/>
    <w:rsid w:val="00013C94"/>
    <w:rsid w:val="00013F53"/>
    <w:rsid w:val="000141DF"/>
    <w:rsid w:val="000158B3"/>
    <w:rsid w:val="00016D0B"/>
    <w:rsid w:val="000202FE"/>
    <w:rsid w:val="0002075D"/>
    <w:rsid w:val="0002251A"/>
    <w:rsid w:val="00022B7E"/>
    <w:rsid w:val="00031118"/>
    <w:rsid w:val="00031C85"/>
    <w:rsid w:val="00031EFF"/>
    <w:rsid w:val="00032788"/>
    <w:rsid w:val="000336FD"/>
    <w:rsid w:val="00033860"/>
    <w:rsid w:val="00034364"/>
    <w:rsid w:val="00036BB3"/>
    <w:rsid w:val="00041175"/>
    <w:rsid w:val="00041AC6"/>
    <w:rsid w:val="00041EE6"/>
    <w:rsid w:val="000433BF"/>
    <w:rsid w:val="00044259"/>
    <w:rsid w:val="000545B2"/>
    <w:rsid w:val="00054999"/>
    <w:rsid w:val="00054A96"/>
    <w:rsid w:val="00054C03"/>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97A3D"/>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6DAD"/>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57064"/>
    <w:rsid w:val="00160F8F"/>
    <w:rsid w:val="00161212"/>
    <w:rsid w:val="001645ED"/>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4DDD"/>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087"/>
    <w:rsid w:val="001F3552"/>
    <w:rsid w:val="001F4EFA"/>
    <w:rsid w:val="001F60F7"/>
    <w:rsid w:val="001F6219"/>
    <w:rsid w:val="001F7384"/>
    <w:rsid w:val="002025C2"/>
    <w:rsid w:val="00202625"/>
    <w:rsid w:val="00206224"/>
    <w:rsid w:val="0020652D"/>
    <w:rsid w:val="00207A54"/>
    <w:rsid w:val="00210FB5"/>
    <w:rsid w:val="00213A30"/>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526"/>
    <w:rsid w:val="002478B6"/>
    <w:rsid w:val="00247EFD"/>
    <w:rsid w:val="0025129C"/>
    <w:rsid w:val="002522F1"/>
    <w:rsid w:val="0025529A"/>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619E"/>
    <w:rsid w:val="002C67F8"/>
    <w:rsid w:val="002C7C7F"/>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02D2"/>
    <w:rsid w:val="002F183B"/>
    <w:rsid w:val="002F2846"/>
    <w:rsid w:val="002F4267"/>
    <w:rsid w:val="002F6953"/>
    <w:rsid w:val="003017C6"/>
    <w:rsid w:val="00305508"/>
    <w:rsid w:val="00307F2D"/>
    <w:rsid w:val="00312C77"/>
    <w:rsid w:val="00314979"/>
    <w:rsid w:val="0031497C"/>
    <w:rsid w:val="00314AAE"/>
    <w:rsid w:val="003150E5"/>
    <w:rsid w:val="00317E26"/>
    <w:rsid w:val="0032001A"/>
    <w:rsid w:val="0032112D"/>
    <w:rsid w:val="00321EDB"/>
    <w:rsid w:val="00324BE6"/>
    <w:rsid w:val="00324F72"/>
    <w:rsid w:val="0033116F"/>
    <w:rsid w:val="00331476"/>
    <w:rsid w:val="00334367"/>
    <w:rsid w:val="00334941"/>
    <w:rsid w:val="00337B0E"/>
    <w:rsid w:val="00340652"/>
    <w:rsid w:val="00341FF2"/>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23D"/>
    <w:rsid w:val="00380FE6"/>
    <w:rsid w:val="00381F86"/>
    <w:rsid w:val="003831A8"/>
    <w:rsid w:val="00384686"/>
    <w:rsid w:val="003855BE"/>
    <w:rsid w:val="00385A33"/>
    <w:rsid w:val="0039035F"/>
    <w:rsid w:val="00390417"/>
    <w:rsid w:val="00390D36"/>
    <w:rsid w:val="00392A4E"/>
    <w:rsid w:val="00392EFE"/>
    <w:rsid w:val="003938AF"/>
    <w:rsid w:val="00394B15"/>
    <w:rsid w:val="003955E1"/>
    <w:rsid w:val="00396529"/>
    <w:rsid w:val="003965A3"/>
    <w:rsid w:val="003967C4"/>
    <w:rsid w:val="00396845"/>
    <w:rsid w:val="003973C9"/>
    <w:rsid w:val="003A05FF"/>
    <w:rsid w:val="003A103C"/>
    <w:rsid w:val="003A1D52"/>
    <w:rsid w:val="003A2E36"/>
    <w:rsid w:val="003A33DD"/>
    <w:rsid w:val="003A3BB1"/>
    <w:rsid w:val="003A4125"/>
    <w:rsid w:val="003A67D8"/>
    <w:rsid w:val="003A6B5E"/>
    <w:rsid w:val="003A7191"/>
    <w:rsid w:val="003A7D4F"/>
    <w:rsid w:val="003B1C04"/>
    <w:rsid w:val="003B22E7"/>
    <w:rsid w:val="003B410D"/>
    <w:rsid w:val="003B61EF"/>
    <w:rsid w:val="003B66F5"/>
    <w:rsid w:val="003C49EF"/>
    <w:rsid w:val="003D113E"/>
    <w:rsid w:val="003D15B2"/>
    <w:rsid w:val="003E157C"/>
    <w:rsid w:val="003E1707"/>
    <w:rsid w:val="003E18BF"/>
    <w:rsid w:val="003E198B"/>
    <w:rsid w:val="003E1C9C"/>
    <w:rsid w:val="003E24D2"/>
    <w:rsid w:val="003E2513"/>
    <w:rsid w:val="003E2A71"/>
    <w:rsid w:val="003E307C"/>
    <w:rsid w:val="003E36D6"/>
    <w:rsid w:val="003E57E8"/>
    <w:rsid w:val="003F0B7B"/>
    <w:rsid w:val="003F0C7E"/>
    <w:rsid w:val="003F233C"/>
    <w:rsid w:val="003F40A9"/>
    <w:rsid w:val="003F5934"/>
    <w:rsid w:val="003F5E4D"/>
    <w:rsid w:val="003F5FEA"/>
    <w:rsid w:val="003F6707"/>
    <w:rsid w:val="00402F8F"/>
    <w:rsid w:val="00405BDF"/>
    <w:rsid w:val="00405DDA"/>
    <w:rsid w:val="00405FEE"/>
    <w:rsid w:val="004062A3"/>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771B"/>
    <w:rsid w:val="0043038F"/>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5154"/>
    <w:rsid w:val="004B7AD5"/>
    <w:rsid w:val="004B7BE6"/>
    <w:rsid w:val="004C070C"/>
    <w:rsid w:val="004C1E5D"/>
    <w:rsid w:val="004C6031"/>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E7B48"/>
    <w:rsid w:val="004F0FDF"/>
    <w:rsid w:val="004F2D4F"/>
    <w:rsid w:val="004F3375"/>
    <w:rsid w:val="004F5F13"/>
    <w:rsid w:val="004F667B"/>
    <w:rsid w:val="00501005"/>
    <w:rsid w:val="00503861"/>
    <w:rsid w:val="005102DF"/>
    <w:rsid w:val="005121C6"/>
    <w:rsid w:val="00513C20"/>
    <w:rsid w:val="005141F8"/>
    <w:rsid w:val="005179F0"/>
    <w:rsid w:val="005215D5"/>
    <w:rsid w:val="005245E6"/>
    <w:rsid w:val="005254BB"/>
    <w:rsid w:val="0052698E"/>
    <w:rsid w:val="00530FF7"/>
    <w:rsid w:val="00531909"/>
    <w:rsid w:val="00531E43"/>
    <w:rsid w:val="005368C1"/>
    <w:rsid w:val="0053719E"/>
    <w:rsid w:val="005377AC"/>
    <w:rsid w:val="00542EE5"/>
    <w:rsid w:val="0054406F"/>
    <w:rsid w:val="00546392"/>
    <w:rsid w:val="00547DBA"/>
    <w:rsid w:val="00550FA7"/>
    <w:rsid w:val="005535D3"/>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4B47"/>
    <w:rsid w:val="00585843"/>
    <w:rsid w:val="00587BC6"/>
    <w:rsid w:val="00592AA2"/>
    <w:rsid w:val="00593D44"/>
    <w:rsid w:val="00594F87"/>
    <w:rsid w:val="005955D7"/>
    <w:rsid w:val="00595B38"/>
    <w:rsid w:val="00595ED0"/>
    <w:rsid w:val="005965A0"/>
    <w:rsid w:val="00596F88"/>
    <w:rsid w:val="0059740B"/>
    <w:rsid w:val="005A0D33"/>
    <w:rsid w:val="005A10C2"/>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5B34"/>
    <w:rsid w:val="005E64BA"/>
    <w:rsid w:val="005E69BF"/>
    <w:rsid w:val="005E76E8"/>
    <w:rsid w:val="005F1771"/>
    <w:rsid w:val="005F19ED"/>
    <w:rsid w:val="005F5F4F"/>
    <w:rsid w:val="005F630C"/>
    <w:rsid w:val="005F6C01"/>
    <w:rsid w:val="005F74A1"/>
    <w:rsid w:val="005F790F"/>
    <w:rsid w:val="005F7995"/>
    <w:rsid w:val="006015AF"/>
    <w:rsid w:val="00601C85"/>
    <w:rsid w:val="00602F73"/>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A2B"/>
    <w:rsid w:val="00646BAE"/>
    <w:rsid w:val="00647F24"/>
    <w:rsid w:val="00651EB5"/>
    <w:rsid w:val="006543A3"/>
    <w:rsid w:val="00656876"/>
    <w:rsid w:val="00656F82"/>
    <w:rsid w:val="006600F2"/>
    <w:rsid w:val="006604C9"/>
    <w:rsid w:val="0066097C"/>
    <w:rsid w:val="00661EB1"/>
    <w:rsid w:val="00665351"/>
    <w:rsid w:val="00666C05"/>
    <w:rsid w:val="006670D5"/>
    <w:rsid w:val="006674C9"/>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85D0E"/>
    <w:rsid w:val="006903A4"/>
    <w:rsid w:val="0069076B"/>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6F"/>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142"/>
    <w:rsid w:val="006E33ED"/>
    <w:rsid w:val="006E3AA1"/>
    <w:rsid w:val="006E41A0"/>
    <w:rsid w:val="006E55F8"/>
    <w:rsid w:val="006E58D7"/>
    <w:rsid w:val="006E761D"/>
    <w:rsid w:val="006E79BC"/>
    <w:rsid w:val="006F06EF"/>
    <w:rsid w:val="006F0DFC"/>
    <w:rsid w:val="006F2313"/>
    <w:rsid w:val="006F235F"/>
    <w:rsid w:val="006F4383"/>
    <w:rsid w:val="006F6723"/>
    <w:rsid w:val="007002C5"/>
    <w:rsid w:val="007017FF"/>
    <w:rsid w:val="00702C37"/>
    <w:rsid w:val="007031A9"/>
    <w:rsid w:val="00703435"/>
    <w:rsid w:val="007052B9"/>
    <w:rsid w:val="007074C4"/>
    <w:rsid w:val="00711F2B"/>
    <w:rsid w:val="00715371"/>
    <w:rsid w:val="007169E6"/>
    <w:rsid w:val="00722990"/>
    <w:rsid w:val="007256D5"/>
    <w:rsid w:val="00725B9D"/>
    <w:rsid w:val="00727090"/>
    <w:rsid w:val="00727D06"/>
    <w:rsid w:val="00727E6C"/>
    <w:rsid w:val="007321FE"/>
    <w:rsid w:val="00734F97"/>
    <w:rsid w:val="00735235"/>
    <w:rsid w:val="00737062"/>
    <w:rsid w:val="00740275"/>
    <w:rsid w:val="00742BF1"/>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67D78"/>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A00"/>
    <w:rsid w:val="007D1D0F"/>
    <w:rsid w:val="007D2F3A"/>
    <w:rsid w:val="007D3088"/>
    <w:rsid w:val="007D5CDC"/>
    <w:rsid w:val="007E2F30"/>
    <w:rsid w:val="007E4123"/>
    <w:rsid w:val="007E42CB"/>
    <w:rsid w:val="007E62EE"/>
    <w:rsid w:val="007F0823"/>
    <w:rsid w:val="007F0A93"/>
    <w:rsid w:val="007F0C01"/>
    <w:rsid w:val="007F108B"/>
    <w:rsid w:val="007F1C04"/>
    <w:rsid w:val="007F2572"/>
    <w:rsid w:val="007F25D5"/>
    <w:rsid w:val="007F3888"/>
    <w:rsid w:val="007F4C19"/>
    <w:rsid w:val="007F795B"/>
    <w:rsid w:val="00800C08"/>
    <w:rsid w:val="0080173C"/>
    <w:rsid w:val="008018A8"/>
    <w:rsid w:val="00801EAB"/>
    <w:rsid w:val="0080384A"/>
    <w:rsid w:val="00804771"/>
    <w:rsid w:val="008057E5"/>
    <w:rsid w:val="00805C83"/>
    <w:rsid w:val="00811574"/>
    <w:rsid w:val="00812046"/>
    <w:rsid w:val="00815E3A"/>
    <w:rsid w:val="00815EBB"/>
    <w:rsid w:val="00820978"/>
    <w:rsid w:val="0082399A"/>
    <w:rsid w:val="00826734"/>
    <w:rsid w:val="00826E49"/>
    <w:rsid w:val="00827EDA"/>
    <w:rsid w:val="008301E9"/>
    <w:rsid w:val="0083198A"/>
    <w:rsid w:val="00831B7B"/>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4393"/>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97A9A"/>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299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06C47"/>
    <w:rsid w:val="00910873"/>
    <w:rsid w:val="00911538"/>
    <w:rsid w:val="009126CE"/>
    <w:rsid w:val="00912C01"/>
    <w:rsid w:val="00914FDF"/>
    <w:rsid w:val="00917009"/>
    <w:rsid w:val="00917B3E"/>
    <w:rsid w:val="00920F23"/>
    <w:rsid w:val="00920FF0"/>
    <w:rsid w:val="0092125A"/>
    <w:rsid w:val="00922FD1"/>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57BB3"/>
    <w:rsid w:val="00960939"/>
    <w:rsid w:val="00961922"/>
    <w:rsid w:val="00962540"/>
    <w:rsid w:val="00962996"/>
    <w:rsid w:val="009661B5"/>
    <w:rsid w:val="009665D0"/>
    <w:rsid w:val="00966EE4"/>
    <w:rsid w:val="0097041A"/>
    <w:rsid w:val="009715F3"/>
    <w:rsid w:val="0097193E"/>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342"/>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603F"/>
    <w:rsid w:val="00A37A47"/>
    <w:rsid w:val="00A41058"/>
    <w:rsid w:val="00A43D3D"/>
    <w:rsid w:val="00A44093"/>
    <w:rsid w:val="00A448BD"/>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6F1"/>
    <w:rsid w:val="00A81B4A"/>
    <w:rsid w:val="00A81DE6"/>
    <w:rsid w:val="00A81ED5"/>
    <w:rsid w:val="00A84D22"/>
    <w:rsid w:val="00A84E36"/>
    <w:rsid w:val="00A859D1"/>
    <w:rsid w:val="00A87019"/>
    <w:rsid w:val="00A87BBC"/>
    <w:rsid w:val="00A87DC2"/>
    <w:rsid w:val="00A90B86"/>
    <w:rsid w:val="00A90F1D"/>
    <w:rsid w:val="00A90F28"/>
    <w:rsid w:val="00A91ACC"/>
    <w:rsid w:val="00A95050"/>
    <w:rsid w:val="00A95103"/>
    <w:rsid w:val="00A96169"/>
    <w:rsid w:val="00A9738E"/>
    <w:rsid w:val="00AA0190"/>
    <w:rsid w:val="00AA080C"/>
    <w:rsid w:val="00AA1F20"/>
    <w:rsid w:val="00AA32E2"/>
    <w:rsid w:val="00AA4644"/>
    <w:rsid w:val="00AA5507"/>
    <w:rsid w:val="00AA57C7"/>
    <w:rsid w:val="00AA6714"/>
    <w:rsid w:val="00AA704F"/>
    <w:rsid w:val="00AB0B77"/>
    <w:rsid w:val="00AB11D4"/>
    <w:rsid w:val="00AB22DD"/>
    <w:rsid w:val="00AB37C3"/>
    <w:rsid w:val="00AB3EA2"/>
    <w:rsid w:val="00AB4247"/>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4A58"/>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2A5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3AB4"/>
    <w:rsid w:val="00B944FA"/>
    <w:rsid w:val="00B94CAF"/>
    <w:rsid w:val="00B94ED0"/>
    <w:rsid w:val="00B956D4"/>
    <w:rsid w:val="00B96CB2"/>
    <w:rsid w:val="00B96FC5"/>
    <w:rsid w:val="00BA0663"/>
    <w:rsid w:val="00BA1211"/>
    <w:rsid w:val="00BA3193"/>
    <w:rsid w:val="00BA4D2C"/>
    <w:rsid w:val="00BA7DE1"/>
    <w:rsid w:val="00BB158A"/>
    <w:rsid w:val="00BB4EB1"/>
    <w:rsid w:val="00BB6C95"/>
    <w:rsid w:val="00BC03D9"/>
    <w:rsid w:val="00BC2C1D"/>
    <w:rsid w:val="00BC3B16"/>
    <w:rsid w:val="00BC3CC0"/>
    <w:rsid w:val="00BC3FF7"/>
    <w:rsid w:val="00BC4897"/>
    <w:rsid w:val="00BC490C"/>
    <w:rsid w:val="00BC57AC"/>
    <w:rsid w:val="00BC6741"/>
    <w:rsid w:val="00BC6F6B"/>
    <w:rsid w:val="00BD1158"/>
    <w:rsid w:val="00BD3E25"/>
    <w:rsid w:val="00BD6084"/>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06EE1"/>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A3A"/>
    <w:rsid w:val="00C42B82"/>
    <w:rsid w:val="00C42E0B"/>
    <w:rsid w:val="00C449DB"/>
    <w:rsid w:val="00C44EA0"/>
    <w:rsid w:val="00C44F45"/>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7EE"/>
    <w:rsid w:val="00CA4A1F"/>
    <w:rsid w:val="00CA6B4B"/>
    <w:rsid w:val="00CA71F4"/>
    <w:rsid w:val="00CB0075"/>
    <w:rsid w:val="00CB0E52"/>
    <w:rsid w:val="00CB29D2"/>
    <w:rsid w:val="00CC4C48"/>
    <w:rsid w:val="00CC5000"/>
    <w:rsid w:val="00CC7FED"/>
    <w:rsid w:val="00CD0895"/>
    <w:rsid w:val="00CD08A5"/>
    <w:rsid w:val="00CD0EED"/>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11C"/>
    <w:rsid w:val="00CF46B8"/>
    <w:rsid w:val="00CF4A29"/>
    <w:rsid w:val="00CF5D75"/>
    <w:rsid w:val="00CF5D83"/>
    <w:rsid w:val="00CF7CD4"/>
    <w:rsid w:val="00D00CB0"/>
    <w:rsid w:val="00D017A4"/>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402F9"/>
    <w:rsid w:val="00D40932"/>
    <w:rsid w:val="00D424D9"/>
    <w:rsid w:val="00D43F54"/>
    <w:rsid w:val="00D474C2"/>
    <w:rsid w:val="00D47B2B"/>
    <w:rsid w:val="00D55236"/>
    <w:rsid w:val="00D55625"/>
    <w:rsid w:val="00D56B14"/>
    <w:rsid w:val="00D60DFC"/>
    <w:rsid w:val="00D60F68"/>
    <w:rsid w:val="00D64E1B"/>
    <w:rsid w:val="00D66011"/>
    <w:rsid w:val="00D67578"/>
    <w:rsid w:val="00D70255"/>
    <w:rsid w:val="00D70F3E"/>
    <w:rsid w:val="00D73CC3"/>
    <w:rsid w:val="00D74FEF"/>
    <w:rsid w:val="00D761F9"/>
    <w:rsid w:val="00D77EE1"/>
    <w:rsid w:val="00D82822"/>
    <w:rsid w:val="00D83269"/>
    <w:rsid w:val="00D83467"/>
    <w:rsid w:val="00D84B22"/>
    <w:rsid w:val="00D86174"/>
    <w:rsid w:val="00D87498"/>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3C25"/>
    <w:rsid w:val="00DE4D83"/>
    <w:rsid w:val="00DE5D49"/>
    <w:rsid w:val="00DE66E0"/>
    <w:rsid w:val="00DE755B"/>
    <w:rsid w:val="00DF0193"/>
    <w:rsid w:val="00DF0783"/>
    <w:rsid w:val="00DF2046"/>
    <w:rsid w:val="00DF2748"/>
    <w:rsid w:val="00DF701E"/>
    <w:rsid w:val="00DF792E"/>
    <w:rsid w:val="00DF7989"/>
    <w:rsid w:val="00E00C5C"/>
    <w:rsid w:val="00E0285E"/>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588D"/>
    <w:rsid w:val="00E17A8B"/>
    <w:rsid w:val="00E2163C"/>
    <w:rsid w:val="00E21841"/>
    <w:rsid w:val="00E23028"/>
    <w:rsid w:val="00E25F16"/>
    <w:rsid w:val="00E301D0"/>
    <w:rsid w:val="00E33E73"/>
    <w:rsid w:val="00E34781"/>
    <w:rsid w:val="00E34E55"/>
    <w:rsid w:val="00E35955"/>
    <w:rsid w:val="00E35C72"/>
    <w:rsid w:val="00E36554"/>
    <w:rsid w:val="00E37A55"/>
    <w:rsid w:val="00E37F21"/>
    <w:rsid w:val="00E41700"/>
    <w:rsid w:val="00E41EB0"/>
    <w:rsid w:val="00E42B4A"/>
    <w:rsid w:val="00E45318"/>
    <w:rsid w:val="00E5088D"/>
    <w:rsid w:val="00E510B8"/>
    <w:rsid w:val="00E54795"/>
    <w:rsid w:val="00E55997"/>
    <w:rsid w:val="00E56124"/>
    <w:rsid w:val="00E56212"/>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0D4"/>
    <w:rsid w:val="00E94AE8"/>
    <w:rsid w:val="00E950E6"/>
    <w:rsid w:val="00EA06DE"/>
    <w:rsid w:val="00EA1355"/>
    <w:rsid w:val="00EA3B8D"/>
    <w:rsid w:val="00EA3FE5"/>
    <w:rsid w:val="00EB0694"/>
    <w:rsid w:val="00EB51AF"/>
    <w:rsid w:val="00EB7D83"/>
    <w:rsid w:val="00EC0DCF"/>
    <w:rsid w:val="00EC28D1"/>
    <w:rsid w:val="00EC462D"/>
    <w:rsid w:val="00EC631C"/>
    <w:rsid w:val="00ED13E7"/>
    <w:rsid w:val="00ED15BD"/>
    <w:rsid w:val="00ED2238"/>
    <w:rsid w:val="00ED326F"/>
    <w:rsid w:val="00ED3D24"/>
    <w:rsid w:val="00ED44CD"/>
    <w:rsid w:val="00ED4EA1"/>
    <w:rsid w:val="00ED5525"/>
    <w:rsid w:val="00EE101F"/>
    <w:rsid w:val="00EE1171"/>
    <w:rsid w:val="00EE27DC"/>
    <w:rsid w:val="00EE29C5"/>
    <w:rsid w:val="00EE49F2"/>
    <w:rsid w:val="00EE6018"/>
    <w:rsid w:val="00EE635E"/>
    <w:rsid w:val="00EE64F6"/>
    <w:rsid w:val="00EF20B5"/>
    <w:rsid w:val="00EF4591"/>
    <w:rsid w:val="00F00561"/>
    <w:rsid w:val="00F0075E"/>
    <w:rsid w:val="00F03CC2"/>
    <w:rsid w:val="00F060A1"/>
    <w:rsid w:val="00F103D7"/>
    <w:rsid w:val="00F1085E"/>
    <w:rsid w:val="00F11151"/>
    <w:rsid w:val="00F119EC"/>
    <w:rsid w:val="00F11C5C"/>
    <w:rsid w:val="00F126C2"/>
    <w:rsid w:val="00F139DF"/>
    <w:rsid w:val="00F1493B"/>
    <w:rsid w:val="00F15A81"/>
    <w:rsid w:val="00F15BDC"/>
    <w:rsid w:val="00F168B1"/>
    <w:rsid w:val="00F174F1"/>
    <w:rsid w:val="00F219D9"/>
    <w:rsid w:val="00F221DD"/>
    <w:rsid w:val="00F225B4"/>
    <w:rsid w:val="00F23C11"/>
    <w:rsid w:val="00F246D0"/>
    <w:rsid w:val="00F25642"/>
    <w:rsid w:val="00F25D77"/>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131C"/>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384C"/>
    <w:rsid w:val="00F954DF"/>
    <w:rsid w:val="00F95C9E"/>
    <w:rsid w:val="00FA0A72"/>
    <w:rsid w:val="00FA1378"/>
    <w:rsid w:val="00FA27B9"/>
    <w:rsid w:val="00FA34DF"/>
    <w:rsid w:val="00FA4356"/>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12E"/>
    <w:rsid w:val="00FD5819"/>
    <w:rsid w:val="00FD598E"/>
    <w:rsid w:val="00FD7B37"/>
    <w:rsid w:val="00FE0156"/>
    <w:rsid w:val="00FE4595"/>
    <w:rsid w:val="00FE6596"/>
    <w:rsid w:val="00FE6877"/>
    <w:rsid w:val="00FF01AF"/>
    <w:rsid w:val="00FF0343"/>
    <w:rsid w:val="00FF0455"/>
    <w:rsid w:val="00FF0469"/>
    <w:rsid w:val="00FF0924"/>
    <w:rsid w:val="00FF17BE"/>
    <w:rsid w:val="00FF25E3"/>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EA4F8"/>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6E55F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15E3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1"/>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815E3A"/>
    <w:rPr>
      <w:rFonts w:asciiTheme="majorHAnsi" w:eastAsiaTheme="majorEastAsia" w:hAnsiTheme="majorHAnsi" w:cstheme="majorBidi"/>
      <w:b/>
      <w:bCs/>
      <w:sz w:val="36"/>
      <w:szCs w:val="36"/>
    </w:rPr>
  </w:style>
  <w:style w:type="character" w:styleId="ae">
    <w:name w:val="Strong"/>
    <w:basedOn w:val="a0"/>
    <w:uiPriority w:val="22"/>
    <w:qFormat/>
    <w:rsid w:val="00815E3A"/>
    <w:rPr>
      <w:b/>
      <w:bCs/>
    </w:rPr>
  </w:style>
  <w:style w:type="character" w:customStyle="1" w:styleId="20">
    <w:name w:val="標題 2 字元"/>
    <w:basedOn w:val="a0"/>
    <w:link w:val="2"/>
    <w:uiPriority w:val="9"/>
    <w:semiHidden/>
    <w:rsid w:val="006E55F8"/>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299">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996498100">
      <w:bodyDiv w:val="1"/>
      <w:marLeft w:val="0"/>
      <w:marRight w:val="0"/>
      <w:marTop w:val="0"/>
      <w:marBottom w:val="0"/>
      <w:divBdr>
        <w:top w:val="none" w:sz="0" w:space="0" w:color="auto"/>
        <w:left w:val="none" w:sz="0" w:space="0" w:color="auto"/>
        <w:bottom w:val="none" w:sz="0" w:space="0" w:color="auto"/>
        <w:right w:val="none" w:sz="0" w:space="0" w:color="auto"/>
      </w:divBdr>
    </w:div>
    <w:div w:id="1495757001">
      <w:bodyDiv w:val="1"/>
      <w:marLeft w:val="0"/>
      <w:marRight w:val="0"/>
      <w:marTop w:val="0"/>
      <w:marBottom w:val="0"/>
      <w:divBdr>
        <w:top w:val="none" w:sz="0" w:space="0" w:color="auto"/>
        <w:left w:val="none" w:sz="0" w:space="0" w:color="auto"/>
        <w:bottom w:val="none" w:sz="0" w:space="0" w:color="auto"/>
        <w:right w:val="none" w:sz="0" w:space="0" w:color="auto"/>
      </w:divBdr>
    </w:div>
    <w:div w:id="157778130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454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D7666-1A5C-48A3-B99D-8AC697E7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22037</TotalTime>
  <Pages>3</Pages>
  <Words>853</Words>
  <Characters>4867</Characters>
  <Application>Microsoft Office Word</Application>
  <DocSecurity>0</DocSecurity>
  <Lines>40</Lines>
  <Paragraphs>11</Paragraphs>
  <ScaleCrop>false</ScaleCrop>
  <Company>Dynabook</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684</cp:revision>
  <dcterms:created xsi:type="dcterms:W3CDTF">2021-01-14T08:25:00Z</dcterms:created>
  <dcterms:modified xsi:type="dcterms:W3CDTF">2025-02-07T06:35:00Z</dcterms:modified>
</cp:coreProperties>
</file>